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E4044" w14:textId="77777777" w:rsidR="00F33B12" w:rsidRPr="00F04828" w:rsidRDefault="00F33B12" w:rsidP="00F33B12">
      <w:pPr>
        <w:spacing w:before="9" w:line="269" w:lineRule="exact"/>
        <w:ind w:right="32"/>
        <w:jc w:val="both"/>
        <w:rPr>
          <w:b/>
          <w:bCs/>
        </w:rPr>
      </w:pPr>
      <w:r w:rsidRPr="00F04828">
        <w:rPr>
          <w:b/>
          <w:bCs/>
        </w:rPr>
        <w:t>Za</w:t>
      </w:r>
      <w:r>
        <w:rPr>
          <w:b/>
          <w:bCs/>
        </w:rPr>
        <w:t>ł</w:t>
      </w:r>
      <w:r w:rsidRPr="00F04828">
        <w:rPr>
          <w:b/>
          <w:bCs/>
        </w:rPr>
        <w:t xml:space="preserve">ącznik Nr </w:t>
      </w:r>
      <w:r>
        <w:rPr>
          <w:b/>
          <w:bCs/>
        </w:rPr>
        <w:t>4</w:t>
      </w:r>
    </w:p>
    <w:p w14:paraId="4A446CB6" w14:textId="77777777" w:rsidR="00F33B12" w:rsidRPr="00F04828" w:rsidRDefault="00F33B12" w:rsidP="00F33B12">
      <w:pPr>
        <w:spacing w:line="271" w:lineRule="exact"/>
        <w:ind w:right="32"/>
        <w:jc w:val="both"/>
      </w:pPr>
      <w:r w:rsidRPr="00F04828">
        <w:t>do Ogłoszenia „Konkurs ofert na najem lokalu użytkowego w</w:t>
      </w:r>
      <w:r>
        <w:t xml:space="preserve"> </w:t>
      </w:r>
      <w:r w:rsidRPr="00F04828">
        <w:t>obiekcie basenowym znajdującym się Gorzowie Wielkopolskim przy ul. Słowiańskiej 14"</w:t>
      </w:r>
    </w:p>
    <w:p w14:paraId="3E0B4D45" w14:textId="77777777" w:rsidR="00F33B12" w:rsidRPr="00F04828" w:rsidRDefault="00F33B12" w:rsidP="00F33B12">
      <w:pPr>
        <w:spacing w:before="557" w:line="280" w:lineRule="exact"/>
        <w:ind w:right="32"/>
        <w:jc w:val="both"/>
        <w:rPr>
          <w:b/>
          <w:bCs/>
        </w:rPr>
      </w:pPr>
      <w:r w:rsidRPr="00F04828">
        <w:rPr>
          <w:b/>
          <w:bCs/>
        </w:rPr>
        <w:t>Regulamin dotyczący konkursu ofert na najem lokalu użytkowego usytuowanego na pierwszym piętrze w obiekcie basenowym</w:t>
      </w:r>
      <w:r w:rsidRPr="00F04828">
        <w:rPr>
          <w:b/>
          <w:bCs/>
          <w:lang w:val="en-US" w:eastAsia="en-US"/>
        </w:rPr>
        <w:t xml:space="preserve"> CSR</w:t>
      </w:r>
      <w:r w:rsidRPr="00F04828">
        <w:rPr>
          <w:b/>
          <w:bCs/>
        </w:rPr>
        <w:t xml:space="preserve"> „S</w:t>
      </w:r>
      <w:r>
        <w:rPr>
          <w:b/>
          <w:bCs/>
        </w:rPr>
        <w:t>ł</w:t>
      </w:r>
      <w:r w:rsidRPr="00F04828">
        <w:rPr>
          <w:b/>
          <w:bCs/>
        </w:rPr>
        <w:t>owianka"</w:t>
      </w:r>
      <w:r w:rsidRPr="00F04828">
        <w:rPr>
          <w:b/>
          <w:bCs/>
          <w:lang w:val="en-US" w:eastAsia="en-US"/>
        </w:rPr>
        <w:t xml:space="preserve"> Sp.</w:t>
      </w:r>
      <w:r w:rsidRPr="00F04828">
        <w:rPr>
          <w:b/>
          <w:bCs/>
        </w:rPr>
        <w:t xml:space="preserve"> z o.o. przy ulicy S</w:t>
      </w:r>
      <w:r>
        <w:rPr>
          <w:b/>
          <w:bCs/>
        </w:rPr>
        <w:t>ł</w:t>
      </w:r>
      <w:r w:rsidRPr="00F04828">
        <w:rPr>
          <w:b/>
          <w:bCs/>
        </w:rPr>
        <w:t>owiańskiej 14 w Gorzowie Wielkopolskim.</w:t>
      </w:r>
    </w:p>
    <w:p w14:paraId="52A03106" w14:textId="77777777" w:rsidR="00F33B12" w:rsidRPr="00F04828" w:rsidRDefault="00F33B12" w:rsidP="00F33B12">
      <w:pPr>
        <w:pStyle w:val="Akapitzlist"/>
        <w:numPr>
          <w:ilvl w:val="0"/>
          <w:numId w:val="5"/>
        </w:numPr>
        <w:spacing w:before="276" w:line="276" w:lineRule="exact"/>
        <w:ind w:right="32"/>
        <w:jc w:val="both"/>
      </w:pPr>
      <w:r w:rsidRPr="00353667">
        <w:rPr>
          <w:lang w:val="en-US" w:eastAsia="en-US"/>
        </w:rPr>
        <w:t>CSR</w:t>
      </w:r>
      <w:r w:rsidRPr="00F04828">
        <w:t xml:space="preserve"> S</w:t>
      </w:r>
      <w:r>
        <w:t>ł</w:t>
      </w:r>
      <w:r w:rsidRPr="00F04828">
        <w:t>owianka może udostępnić osobom trzecim należący do niej lokal w drodze konkursu ofert z uwzględnieniem zasad określonych w niniejszym regulaminie.</w:t>
      </w:r>
    </w:p>
    <w:p w14:paraId="66858EAA" w14:textId="77777777" w:rsidR="00F33B12" w:rsidRPr="00F04828" w:rsidRDefault="00F33B12" w:rsidP="00F33B12">
      <w:pPr>
        <w:pStyle w:val="Akapitzlist"/>
        <w:numPr>
          <w:ilvl w:val="0"/>
          <w:numId w:val="5"/>
        </w:numPr>
        <w:spacing w:before="5" w:line="276" w:lineRule="exact"/>
        <w:ind w:right="32"/>
        <w:jc w:val="both"/>
      </w:pPr>
      <w:r w:rsidRPr="00F04828">
        <w:t>Konkurs ma formę pisemnego konkursu ofert.</w:t>
      </w:r>
    </w:p>
    <w:p w14:paraId="2CBF07A5" w14:textId="77777777" w:rsidR="00F33B12" w:rsidRPr="00220EE1" w:rsidRDefault="00F33B12" w:rsidP="00F33B12">
      <w:pPr>
        <w:pStyle w:val="Akapitzlist"/>
        <w:numPr>
          <w:ilvl w:val="0"/>
          <w:numId w:val="5"/>
        </w:numPr>
        <w:tabs>
          <w:tab w:val="left" w:pos="7056"/>
        </w:tabs>
        <w:spacing w:before="4" w:line="276" w:lineRule="exact"/>
        <w:ind w:right="512"/>
        <w:jc w:val="both"/>
      </w:pPr>
      <w:r w:rsidRPr="00220EE1">
        <w:t>Plan sytuacyjny pomieszczenia stanowi Załącznik Nr 5 do Ogłoszenia o Konkursie.</w:t>
      </w:r>
    </w:p>
    <w:p w14:paraId="37951065" w14:textId="4F607882" w:rsidR="00F33B12" w:rsidRDefault="00F33B12" w:rsidP="00F33B12">
      <w:pPr>
        <w:pStyle w:val="Akapitzlist"/>
        <w:numPr>
          <w:ilvl w:val="0"/>
          <w:numId w:val="5"/>
        </w:numPr>
        <w:spacing w:before="5" w:line="276" w:lineRule="exact"/>
        <w:ind w:right="32"/>
        <w:jc w:val="both"/>
      </w:pPr>
      <w:r w:rsidRPr="00F04828">
        <w:t xml:space="preserve">Warunkiem uczestnictwa w konkursie jest złożenie pisemnej oferty w zamkniętych kopertach z dopiskiem „Konkurs ofert na najem lokalu użytkowego w obiekcie basenowym znajdującym się Gorzowie Wielkopolskim przy ul. Słowiańskiej 14" </w:t>
      </w:r>
      <w:r>
        <w:br/>
      </w:r>
      <w:r w:rsidRPr="00F04828">
        <w:t>w sekretariacie</w:t>
      </w:r>
      <w:r w:rsidRPr="00353667">
        <w:rPr>
          <w:lang w:val="en-US" w:eastAsia="en-US"/>
        </w:rPr>
        <w:t xml:space="preserve"> CSR</w:t>
      </w:r>
      <w:r w:rsidRPr="00F04828">
        <w:t xml:space="preserve"> S</w:t>
      </w:r>
      <w:r>
        <w:t>ł</w:t>
      </w:r>
      <w:r w:rsidRPr="00F04828">
        <w:t xml:space="preserve">owianka, pok. nr </w:t>
      </w:r>
      <w:r w:rsidRPr="00407B1D">
        <w:t>115 do dnia 14 lipca 2023r. do godz</w:t>
      </w:r>
      <w:r>
        <w:t>.</w:t>
      </w:r>
      <w:r w:rsidRPr="00407B1D">
        <w:t xml:space="preserve"> 15.30.</w:t>
      </w:r>
      <w:r w:rsidRPr="00353667">
        <w:rPr>
          <w:b/>
          <w:bCs/>
        </w:rPr>
        <w:t xml:space="preserve"> </w:t>
      </w:r>
      <w:r>
        <w:rPr>
          <w:b/>
          <w:bCs/>
        </w:rPr>
        <w:br/>
      </w:r>
      <w:r w:rsidRPr="00F04828">
        <w:t>W przypadku ofert przesy</w:t>
      </w:r>
      <w:r>
        <w:t>ł</w:t>
      </w:r>
      <w:r w:rsidRPr="00F04828">
        <w:t>anych pocztą o dacie złożenia oferty decyduje data wpływu do sekretariatu.</w:t>
      </w:r>
    </w:p>
    <w:p w14:paraId="6CA2C928" w14:textId="77777777" w:rsidR="00F33B12" w:rsidRDefault="00F33B12" w:rsidP="00F33B12">
      <w:pPr>
        <w:pStyle w:val="Akapitzlist"/>
        <w:numPr>
          <w:ilvl w:val="0"/>
          <w:numId w:val="5"/>
        </w:numPr>
        <w:spacing w:before="5" w:line="276" w:lineRule="exact"/>
        <w:ind w:right="32"/>
        <w:jc w:val="both"/>
      </w:pPr>
      <w:r w:rsidRPr="00F04828">
        <w:t>Konkurs prowadzi powołana Uchwa</w:t>
      </w:r>
      <w:r>
        <w:t>ł</w:t>
      </w:r>
      <w:r w:rsidRPr="00F04828">
        <w:t>ą Zarządu komisja konkursowa.</w:t>
      </w:r>
    </w:p>
    <w:p w14:paraId="3C0BF4E6" w14:textId="77777777" w:rsidR="00F33B12" w:rsidRPr="00F04828" w:rsidRDefault="00F33B12" w:rsidP="00F33B12">
      <w:pPr>
        <w:pStyle w:val="Akapitzlist"/>
        <w:numPr>
          <w:ilvl w:val="0"/>
          <w:numId w:val="5"/>
        </w:numPr>
        <w:spacing w:before="5" w:line="276" w:lineRule="exact"/>
        <w:ind w:right="32"/>
        <w:jc w:val="both"/>
      </w:pPr>
      <w:r w:rsidRPr="00F04828">
        <w:t>W konkursie nie mogą uczestniczyć:</w:t>
      </w:r>
    </w:p>
    <w:p w14:paraId="31BEEEA7" w14:textId="77777777" w:rsidR="00F33B12" w:rsidRPr="00F04828" w:rsidRDefault="00F33B12" w:rsidP="00F33B12">
      <w:pPr>
        <w:numPr>
          <w:ilvl w:val="0"/>
          <w:numId w:val="1"/>
        </w:numPr>
        <w:spacing w:line="276" w:lineRule="exact"/>
        <w:ind w:right="32"/>
        <w:jc w:val="both"/>
      </w:pPr>
      <w:r w:rsidRPr="00F04828">
        <w:t xml:space="preserve">osoby wchodzące w skład komisji </w:t>
      </w:r>
      <w:r>
        <w:t>konkursowej</w:t>
      </w:r>
    </w:p>
    <w:p w14:paraId="04D64102" w14:textId="77777777" w:rsidR="00F33B12" w:rsidRDefault="00F33B12" w:rsidP="00F33B12">
      <w:pPr>
        <w:numPr>
          <w:ilvl w:val="0"/>
          <w:numId w:val="1"/>
        </w:numPr>
        <w:spacing w:before="4" w:line="276" w:lineRule="exact"/>
        <w:ind w:right="32"/>
        <w:jc w:val="both"/>
      </w:pPr>
      <w:r w:rsidRPr="00F04828">
        <w:t>małżonek, dzieci, rodzice i rodzeństwo osób o których mowa w ust.1)</w:t>
      </w:r>
    </w:p>
    <w:p w14:paraId="2A889004" w14:textId="77777777" w:rsidR="00F33B12" w:rsidRDefault="00F33B12" w:rsidP="00F33B12">
      <w:pPr>
        <w:pStyle w:val="Akapitzlist"/>
        <w:numPr>
          <w:ilvl w:val="0"/>
          <w:numId w:val="4"/>
        </w:numPr>
        <w:tabs>
          <w:tab w:val="clear" w:pos="771"/>
        </w:tabs>
        <w:spacing w:before="4" w:line="276" w:lineRule="exact"/>
        <w:ind w:left="142" w:right="32"/>
        <w:jc w:val="both"/>
      </w:pPr>
      <w:r w:rsidRPr="00F04828">
        <w:t>Konkurs otwiera i prowadzi Przewodniczący Komisji.</w:t>
      </w:r>
    </w:p>
    <w:p w14:paraId="5409BC53" w14:textId="77777777" w:rsidR="00F33B12" w:rsidRPr="00220EE1" w:rsidRDefault="00F33B12" w:rsidP="00F33B12">
      <w:pPr>
        <w:pStyle w:val="Akapitzlist"/>
        <w:numPr>
          <w:ilvl w:val="0"/>
          <w:numId w:val="4"/>
        </w:numPr>
        <w:spacing w:before="4" w:line="276" w:lineRule="exact"/>
        <w:ind w:left="142" w:right="32"/>
        <w:jc w:val="both"/>
      </w:pPr>
      <w:r w:rsidRPr="00220EE1">
        <w:t>Komisja Konkursowa sporządza protokół, w którym:</w:t>
      </w:r>
    </w:p>
    <w:p w14:paraId="148A91F3" w14:textId="77777777" w:rsidR="00F33B12" w:rsidRPr="00F04828" w:rsidRDefault="00F33B12" w:rsidP="00F33B12">
      <w:pPr>
        <w:numPr>
          <w:ilvl w:val="0"/>
          <w:numId w:val="2"/>
        </w:numPr>
        <w:spacing w:before="6" w:line="276" w:lineRule="exact"/>
        <w:ind w:right="32"/>
        <w:jc w:val="both"/>
      </w:pPr>
      <w:r w:rsidRPr="00F04828">
        <w:t>podaje liczbę otrzymanych ofert,</w:t>
      </w:r>
    </w:p>
    <w:p w14:paraId="230DC9EE" w14:textId="77777777" w:rsidR="00F33B12" w:rsidRPr="00F04828" w:rsidRDefault="00F33B12" w:rsidP="00F33B12">
      <w:pPr>
        <w:numPr>
          <w:ilvl w:val="0"/>
          <w:numId w:val="2"/>
        </w:numPr>
        <w:spacing w:before="34" w:line="257" w:lineRule="exact"/>
        <w:ind w:right="32"/>
        <w:jc w:val="both"/>
      </w:pPr>
      <w:r w:rsidRPr="00F04828">
        <w:t>otwiera koperty z ofertami, sprawdza ich kompletność oraz tożsamość osób, które złożyły oferty,</w:t>
      </w:r>
    </w:p>
    <w:p w14:paraId="63088135" w14:textId="77777777" w:rsidR="00F33B12" w:rsidRPr="00F04828" w:rsidRDefault="00F33B12" w:rsidP="00F33B12">
      <w:pPr>
        <w:numPr>
          <w:ilvl w:val="0"/>
          <w:numId w:val="2"/>
        </w:numPr>
        <w:spacing w:before="19" w:line="276" w:lineRule="exact"/>
        <w:ind w:right="32"/>
        <w:jc w:val="both"/>
      </w:pPr>
      <w:r w:rsidRPr="00F04828">
        <w:t>przyjmuje wyjaśnienia lub oświadczenia zgłoszone przez oferentów,</w:t>
      </w:r>
    </w:p>
    <w:p w14:paraId="5851AE9C" w14:textId="77777777" w:rsidR="00F33B12" w:rsidRPr="00F04828" w:rsidRDefault="00F33B12" w:rsidP="00F33B12">
      <w:pPr>
        <w:numPr>
          <w:ilvl w:val="0"/>
          <w:numId w:val="2"/>
        </w:numPr>
        <w:spacing w:before="26" w:line="258" w:lineRule="exact"/>
        <w:ind w:right="512"/>
        <w:jc w:val="both"/>
      </w:pPr>
      <w:r w:rsidRPr="00F04828">
        <w:t>weryfikuje oferty i ogłasza, które oferty zostały zakwalifikowane do części niejawnej konkursu,</w:t>
      </w:r>
    </w:p>
    <w:p w14:paraId="50A48723" w14:textId="77777777" w:rsidR="00F33B12" w:rsidRPr="00F04828" w:rsidRDefault="00F33B12" w:rsidP="00F33B12">
      <w:pPr>
        <w:numPr>
          <w:ilvl w:val="0"/>
          <w:numId w:val="2"/>
        </w:numPr>
        <w:spacing w:before="24" w:line="276" w:lineRule="exact"/>
        <w:ind w:right="32"/>
        <w:jc w:val="both"/>
      </w:pPr>
      <w:r w:rsidRPr="00F04828">
        <w:t xml:space="preserve">zawiadamia oferentów o </w:t>
      </w:r>
      <w:r>
        <w:t xml:space="preserve">wynikach postępowania i ewentualnego zaproszenia do części ustnej. </w:t>
      </w:r>
    </w:p>
    <w:p w14:paraId="52E13C34" w14:textId="77777777" w:rsidR="00F33B12" w:rsidRPr="00F04828" w:rsidRDefault="00F33B12" w:rsidP="00F33B12">
      <w:pPr>
        <w:pStyle w:val="Akapitzlist"/>
        <w:numPr>
          <w:ilvl w:val="0"/>
          <w:numId w:val="4"/>
        </w:numPr>
        <w:spacing w:before="293" w:line="269" w:lineRule="exact"/>
        <w:ind w:right="32"/>
        <w:jc w:val="both"/>
      </w:pPr>
      <w:r w:rsidRPr="00F04828">
        <w:t>Komisja Konkursowa odmawia zakwalifikowania oferty do części niejawnej konkursu jeżeli:</w:t>
      </w:r>
    </w:p>
    <w:p w14:paraId="25CF85B6" w14:textId="77777777" w:rsidR="00F33B12" w:rsidRPr="00F04828" w:rsidRDefault="00F33B12" w:rsidP="00F33B12">
      <w:pPr>
        <w:numPr>
          <w:ilvl w:val="0"/>
          <w:numId w:val="3"/>
        </w:numPr>
        <w:spacing w:line="262" w:lineRule="exact"/>
        <w:ind w:right="512"/>
        <w:jc w:val="both"/>
      </w:pPr>
      <w:r w:rsidRPr="00F04828">
        <w:t>oferta nie odpowiada warunkom konkursu, a w szczególności nie zawiera elementów obligatoryjnych określonych w ogłoszeniu o konkursie,</w:t>
      </w:r>
    </w:p>
    <w:p w14:paraId="25496365" w14:textId="77777777" w:rsidR="00F33B12" w:rsidRPr="00F04828" w:rsidRDefault="00F33B12" w:rsidP="00F33B12">
      <w:pPr>
        <w:numPr>
          <w:ilvl w:val="0"/>
          <w:numId w:val="3"/>
        </w:numPr>
        <w:spacing w:line="275" w:lineRule="exact"/>
        <w:ind w:right="32"/>
        <w:jc w:val="both"/>
      </w:pPr>
      <w:r w:rsidRPr="00F04828">
        <w:t>oferta została z</w:t>
      </w:r>
      <w:r>
        <w:t>ł</w:t>
      </w:r>
      <w:r w:rsidRPr="00F04828">
        <w:t>ożona po wyznaczonym terminie,</w:t>
      </w:r>
    </w:p>
    <w:p w14:paraId="0B76F016" w14:textId="77777777" w:rsidR="00F33B12" w:rsidRPr="00F04828" w:rsidRDefault="00F33B12" w:rsidP="00F33B12">
      <w:pPr>
        <w:numPr>
          <w:ilvl w:val="0"/>
          <w:numId w:val="3"/>
        </w:numPr>
        <w:spacing w:before="18" w:line="276" w:lineRule="exact"/>
        <w:ind w:right="32"/>
        <w:jc w:val="both"/>
      </w:pPr>
      <w:r w:rsidRPr="00F04828">
        <w:t>dane zawarte w ofercie są nieczytelne lub budzą wątpliwości co do ich treści.</w:t>
      </w:r>
    </w:p>
    <w:p w14:paraId="6CE54006" w14:textId="77777777" w:rsidR="00F33B12" w:rsidRDefault="00F33B12" w:rsidP="00F33B12">
      <w:pPr>
        <w:spacing w:before="75" w:after="1" w:line="242" w:lineRule="exact"/>
        <w:ind w:left="832" w:right="32"/>
        <w:jc w:val="both"/>
      </w:pPr>
    </w:p>
    <w:p w14:paraId="31D623B0" w14:textId="77777777" w:rsidR="00F33B12" w:rsidRPr="00F04828" w:rsidRDefault="00F33B12" w:rsidP="00F33B12">
      <w:pPr>
        <w:pStyle w:val="Akapitzlist"/>
        <w:numPr>
          <w:ilvl w:val="0"/>
          <w:numId w:val="4"/>
        </w:numPr>
        <w:spacing w:before="75" w:after="1" w:line="242" w:lineRule="exact"/>
        <w:ind w:left="0" w:right="32"/>
        <w:jc w:val="both"/>
      </w:pPr>
      <w:r w:rsidRPr="00F04828">
        <w:t xml:space="preserve">W przypadku </w:t>
      </w:r>
      <w:r>
        <w:t>większej ilośc</w:t>
      </w:r>
      <w:r w:rsidRPr="00F04828">
        <w:t>i ofert, Komisja Konkursowa przeprowadzi dodatkowy przetarg ustny z oferentami.</w:t>
      </w:r>
    </w:p>
    <w:p w14:paraId="7F23D400" w14:textId="77777777" w:rsidR="00F33B12" w:rsidRPr="00F04828" w:rsidRDefault="00F33B12" w:rsidP="00F33B12">
      <w:pPr>
        <w:spacing w:before="75" w:after="1" w:line="242" w:lineRule="exact"/>
        <w:ind w:right="32"/>
        <w:jc w:val="both"/>
      </w:pPr>
    </w:p>
    <w:p w14:paraId="1C8905A1" w14:textId="77777777" w:rsidR="00F33B12" w:rsidRPr="00F04828" w:rsidRDefault="00F33B12" w:rsidP="00F33B12">
      <w:pPr>
        <w:pStyle w:val="Akapitzlist"/>
        <w:numPr>
          <w:ilvl w:val="0"/>
          <w:numId w:val="4"/>
        </w:numPr>
        <w:spacing w:before="10" w:line="280" w:lineRule="exact"/>
        <w:ind w:left="0" w:right="452"/>
        <w:jc w:val="both"/>
      </w:pPr>
      <w:r w:rsidRPr="00F04828">
        <w:t>Komisja sporządza protokół z konkursu zawierający informacje o złożonych ofertach wraz z uzasadnieniem wyboru najkorzystniejszej.</w:t>
      </w:r>
    </w:p>
    <w:p w14:paraId="4FA9AE41" w14:textId="77777777" w:rsidR="00F33B12" w:rsidRPr="00F04828" w:rsidRDefault="00F33B12" w:rsidP="00F33B12">
      <w:pPr>
        <w:pStyle w:val="Akapitzlist"/>
        <w:numPr>
          <w:ilvl w:val="0"/>
          <w:numId w:val="4"/>
        </w:numPr>
        <w:spacing w:before="1" w:line="280" w:lineRule="exact"/>
        <w:ind w:left="0" w:right="323"/>
        <w:jc w:val="both"/>
      </w:pPr>
      <w:r w:rsidRPr="00F04828">
        <w:t>Konkurs jest ważny bez względu na liczbę uczestników, jeżeli wpłynęła chociaż jedna oferta spełniająca warunki określone w ogłoszeniu o konkursie.</w:t>
      </w:r>
    </w:p>
    <w:p w14:paraId="3B8ED95E" w14:textId="77777777" w:rsidR="00F33B12" w:rsidRPr="00F04828" w:rsidRDefault="00F33B12" w:rsidP="00F33B12">
      <w:pPr>
        <w:pStyle w:val="Akapitzlist"/>
        <w:numPr>
          <w:ilvl w:val="0"/>
          <w:numId w:val="4"/>
        </w:numPr>
        <w:spacing w:before="3" w:line="280" w:lineRule="exact"/>
        <w:ind w:left="0" w:right="452"/>
        <w:jc w:val="both"/>
      </w:pPr>
      <w:r w:rsidRPr="00F04828">
        <w:t xml:space="preserve">Konkurs uważa się za zakończony wynikiem negatywnym jeżeli nie wpłynęła żadna oferta, albo gdy komisja konkursowa stwierdziła, ze żadna oferta nie spełnia </w:t>
      </w:r>
      <w:r w:rsidRPr="00F04828">
        <w:lastRenderedPageBreak/>
        <w:t>warunków konkursu (zgodnie z wymogami ogłoszenia o konkursie)</w:t>
      </w:r>
    </w:p>
    <w:p w14:paraId="7235B83F" w14:textId="77777777" w:rsidR="00F33B12" w:rsidRDefault="00F33B12" w:rsidP="00F33B12">
      <w:pPr>
        <w:pStyle w:val="Akapitzlist"/>
        <w:numPr>
          <w:ilvl w:val="0"/>
          <w:numId w:val="4"/>
        </w:numPr>
        <w:spacing w:line="280" w:lineRule="exact"/>
        <w:ind w:left="0"/>
        <w:jc w:val="both"/>
      </w:pPr>
      <w:r w:rsidRPr="00F04828">
        <w:t>Zamawiającemu przysługuje prawo zamknięcia konkursu bez wybrania którejkolwiek oferty</w:t>
      </w:r>
      <w:r>
        <w:t>.</w:t>
      </w:r>
    </w:p>
    <w:p w14:paraId="11EA4592" w14:textId="77777777" w:rsidR="00F33B12" w:rsidRPr="00F04828" w:rsidRDefault="00F33B12" w:rsidP="00F33B12">
      <w:pPr>
        <w:pStyle w:val="Akapitzlist"/>
        <w:numPr>
          <w:ilvl w:val="0"/>
          <w:numId w:val="4"/>
        </w:numPr>
        <w:spacing w:line="280" w:lineRule="exact"/>
        <w:jc w:val="both"/>
      </w:pPr>
      <w:r w:rsidRPr="00F04828">
        <w:t>Przewodniczący Komisji Konkursowej zawiadamia</w:t>
      </w:r>
      <w:r>
        <w:t xml:space="preserve"> w formie mailowej a następnie</w:t>
      </w:r>
      <w:r w:rsidRPr="00F04828">
        <w:t xml:space="preserve"> na piśmie uczestników o konkursie o jego</w:t>
      </w:r>
      <w:r>
        <w:t> </w:t>
      </w:r>
      <w:r w:rsidRPr="00F04828">
        <w:t xml:space="preserve"> wyniku w terminie nie dłuższym niż 3 dni od zamknięcia konkursu.</w:t>
      </w:r>
    </w:p>
    <w:p w14:paraId="637BAF1B" w14:textId="77777777" w:rsidR="00F33B12" w:rsidRPr="00F04828" w:rsidRDefault="00F33B12" w:rsidP="00F33B12">
      <w:pPr>
        <w:pStyle w:val="Akapitzlist"/>
        <w:numPr>
          <w:ilvl w:val="0"/>
          <w:numId w:val="4"/>
        </w:numPr>
        <w:spacing w:line="280" w:lineRule="exact"/>
        <w:ind w:right="193"/>
        <w:jc w:val="both"/>
      </w:pPr>
      <w:r w:rsidRPr="00F04828">
        <w:t>Z oferentem, który wygrał konkurs zostanie podpisana umowa najmu w terminie do 14 dni od zakończenia konkursu. Przekazanie przedmiotu najmu nastąpi na podstawie protokołu zdawczo-odbiorczego.</w:t>
      </w:r>
    </w:p>
    <w:p w14:paraId="1AF97A13" w14:textId="77777777" w:rsidR="00F33B12" w:rsidRDefault="00F33B12" w:rsidP="00F33B12">
      <w:pPr>
        <w:spacing w:line="275" w:lineRule="exact"/>
        <w:ind w:right="193"/>
        <w:jc w:val="both"/>
      </w:pPr>
      <w:r w:rsidRPr="00F04828">
        <w:t>Oferent zobowiązany jest również w terminie 14 dni od dnia wydania lokalu wpłacić kaucję w wysokości 2 — krotności miesięcznego czynszu najmu brutto wg zaoferowanej w konkursie stawki w celu zabezpieczenia przedmiotu urnowy oraz ewentualnych roszczeń odszkodowawczych. Umowa z najemcą zostanie podpisana na czas określony na okres 5 lat.</w:t>
      </w:r>
    </w:p>
    <w:p w14:paraId="6FCCE784" w14:textId="77777777" w:rsidR="00F33B12" w:rsidRPr="00F04828" w:rsidRDefault="00F33B12" w:rsidP="00F33B12">
      <w:pPr>
        <w:pStyle w:val="Akapitzlist"/>
        <w:numPr>
          <w:ilvl w:val="0"/>
          <w:numId w:val="4"/>
        </w:numPr>
        <w:spacing w:line="275" w:lineRule="exact"/>
        <w:ind w:right="193"/>
        <w:jc w:val="both"/>
      </w:pPr>
      <w:r w:rsidRPr="00F04828">
        <w:t>Protokół z konkursu zatwierdzony przez Zarząd</w:t>
      </w:r>
      <w:r w:rsidRPr="00353667">
        <w:rPr>
          <w:lang w:val="en-US" w:eastAsia="en-US"/>
        </w:rPr>
        <w:t xml:space="preserve"> CSR</w:t>
      </w:r>
      <w:r w:rsidRPr="00F04828">
        <w:t xml:space="preserve"> Słowianka stanowi podstawę do zawarcia urnowy najmu.</w:t>
      </w:r>
    </w:p>
    <w:p w14:paraId="5795E6F3" w14:textId="77777777" w:rsidR="00087733" w:rsidRDefault="00087733"/>
    <w:sectPr w:rsidR="000877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CC833"/>
    <w:multiLevelType w:val="singleLevel"/>
    <w:tmpl w:val="61211F5B"/>
    <w:lvl w:ilvl="0">
      <w:start w:val="1"/>
      <w:numFmt w:val="decimal"/>
      <w:lvlText w:val="%1)"/>
      <w:lvlJc w:val="left"/>
      <w:pPr>
        <w:tabs>
          <w:tab w:val="num" w:pos="432"/>
        </w:tabs>
      </w:pPr>
      <w:rPr>
        <w:snapToGrid/>
        <w:sz w:val="23"/>
        <w:szCs w:val="23"/>
      </w:rPr>
    </w:lvl>
  </w:abstractNum>
  <w:abstractNum w:abstractNumId="1" w15:restartNumberingAfterBreak="0">
    <w:nsid w:val="05C4D414"/>
    <w:multiLevelType w:val="singleLevel"/>
    <w:tmpl w:val="7EA8870F"/>
    <w:lvl w:ilvl="0">
      <w:start w:val="1"/>
      <w:numFmt w:val="lowerLetter"/>
      <w:lvlText w:val="%1)"/>
      <w:lvlJc w:val="left"/>
      <w:pPr>
        <w:tabs>
          <w:tab w:val="num" w:pos="1192"/>
        </w:tabs>
        <w:ind w:left="832"/>
      </w:pPr>
      <w:rPr>
        <w:snapToGrid/>
        <w:sz w:val="23"/>
        <w:szCs w:val="23"/>
      </w:rPr>
    </w:lvl>
  </w:abstractNum>
  <w:abstractNum w:abstractNumId="2" w15:restartNumberingAfterBreak="0">
    <w:nsid w:val="05F91B3D"/>
    <w:multiLevelType w:val="singleLevel"/>
    <w:tmpl w:val="7BAB8DC2"/>
    <w:lvl w:ilvl="0">
      <w:start w:val="1"/>
      <w:numFmt w:val="lowerLetter"/>
      <w:lvlText w:val="%1)"/>
      <w:lvlJc w:val="left"/>
      <w:pPr>
        <w:tabs>
          <w:tab w:val="num" w:pos="1120"/>
        </w:tabs>
        <w:ind w:left="832"/>
      </w:pPr>
      <w:rPr>
        <w:snapToGrid/>
        <w:sz w:val="23"/>
        <w:szCs w:val="23"/>
      </w:rPr>
    </w:lvl>
  </w:abstractNum>
  <w:abstractNum w:abstractNumId="3" w15:restartNumberingAfterBreak="0">
    <w:nsid w:val="074F396F"/>
    <w:multiLevelType w:val="multilevel"/>
    <w:tmpl w:val="CEFC2BA2"/>
    <w:lvl w:ilvl="0">
      <w:start w:val="1"/>
      <w:numFmt w:val="decimal"/>
      <w:lvlText w:val="%1."/>
      <w:lvlJc w:val="left"/>
      <w:pPr>
        <w:tabs>
          <w:tab w:val="num" w:pos="771"/>
        </w:tabs>
        <w:ind w:left="411"/>
      </w:pPr>
      <w:rPr>
        <w:snapToGrid/>
        <w:sz w:val="23"/>
        <w:szCs w:val="23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A17447"/>
    <w:multiLevelType w:val="hybridMultilevel"/>
    <w:tmpl w:val="5560ADD4"/>
    <w:lvl w:ilvl="0" w:tplc="3E5E2CC6">
      <w:start w:val="1"/>
      <w:numFmt w:val="decimal"/>
      <w:lvlText w:val="%1."/>
      <w:lvlJc w:val="left"/>
      <w:pPr>
        <w:ind w:left="5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72" w:hanging="360"/>
      </w:pPr>
    </w:lvl>
    <w:lvl w:ilvl="2" w:tplc="0415001B" w:tentative="1">
      <w:start w:val="1"/>
      <w:numFmt w:val="lowerRoman"/>
      <w:lvlText w:val="%3."/>
      <w:lvlJc w:val="right"/>
      <w:pPr>
        <w:ind w:left="1992" w:hanging="180"/>
      </w:pPr>
    </w:lvl>
    <w:lvl w:ilvl="3" w:tplc="0415000F" w:tentative="1">
      <w:start w:val="1"/>
      <w:numFmt w:val="decimal"/>
      <w:lvlText w:val="%4."/>
      <w:lvlJc w:val="left"/>
      <w:pPr>
        <w:ind w:left="2712" w:hanging="360"/>
      </w:pPr>
    </w:lvl>
    <w:lvl w:ilvl="4" w:tplc="04150019" w:tentative="1">
      <w:start w:val="1"/>
      <w:numFmt w:val="lowerLetter"/>
      <w:lvlText w:val="%5."/>
      <w:lvlJc w:val="left"/>
      <w:pPr>
        <w:ind w:left="3432" w:hanging="360"/>
      </w:pPr>
    </w:lvl>
    <w:lvl w:ilvl="5" w:tplc="0415001B" w:tentative="1">
      <w:start w:val="1"/>
      <w:numFmt w:val="lowerRoman"/>
      <w:lvlText w:val="%6."/>
      <w:lvlJc w:val="right"/>
      <w:pPr>
        <w:ind w:left="4152" w:hanging="180"/>
      </w:pPr>
    </w:lvl>
    <w:lvl w:ilvl="6" w:tplc="0415000F" w:tentative="1">
      <w:start w:val="1"/>
      <w:numFmt w:val="decimal"/>
      <w:lvlText w:val="%7."/>
      <w:lvlJc w:val="left"/>
      <w:pPr>
        <w:ind w:left="4872" w:hanging="360"/>
      </w:pPr>
    </w:lvl>
    <w:lvl w:ilvl="7" w:tplc="04150019" w:tentative="1">
      <w:start w:val="1"/>
      <w:numFmt w:val="lowerLetter"/>
      <w:lvlText w:val="%8."/>
      <w:lvlJc w:val="left"/>
      <w:pPr>
        <w:ind w:left="5592" w:hanging="360"/>
      </w:pPr>
    </w:lvl>
    <w:lvl w:ilvl="8" w:tplc="0415001B" w:tentative="1">
      <w:start w:val="1"/>
      <w:numFmt w:val="lowerRoman"/>
      <w:lvlText w:val="%9."/>
      <w:lvlJc w:val="right"/>
      <w:pPr>
        <w:ind w:left="6312" w:hanging="180"/>
      </w:pPr>
    </w:lvl>
  </w:abstractNum>
  <w:num w:numId="1" w16cid:durableId="584727241">
    <w:abstractNumId w:val="0"/>
  </w:num>
  <w:num w:numId="2" w16cid:durableId="2067337557">
    <w:abstractNumId w:val="2"/>
  </w:num>
  <w:num w:numId="3" w16cid:durableId="419301326">
    <w:abstractNumId w:val="1"/>
  </w:num>
  <w:num w:numId="4" w16cid:durableId="731662286">
    <w:abstractNumId w:val="3"/>
  </w:num>
  <w:num w:numId="5" w16cid:durableId="19877084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B12"/>
    <w:rsid w:val="00087733"/>
    <w:rsid w:val="00F33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D8B1B"/>
  <w15:chartTrackingRefBased/>
  <w15:docId w15:val="{9DD1810F-EC37-4A13-941F-DA5E02759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3B12"/>
    <w:pPr>
      <w:widowControl w:val="0"/>
      <w:kinsoku w:val="0"/>
      <w:overflowPunct w:val="0"/>
      <w:spacing w:after="0" w:line="240" w:lineRule="auto"/>
      <w:textAlignment w:val="baseline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33B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512</Words>
  <Characters>3077</Characters>
  <Application>Microsoft Office Word</Application>
  <DocSecurity>0</DocSecurity>
  <Lines>25</Lines>
  <Paragraphs>7</Paragraphs>
  <ScaleCrop>false</ScaleCrop>
  <Company/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</dc:creator>
  <cp:keywords/>
  <dc:description/>
  <cp:lastModifiedBy>agata</cp:lastModifiedBy>
  <cp:revision>1</cp:revision>
  <dcterms:created xsi:type="dcterms:W3CDTF">2023-06-19T13:30:00Z</dcterms:created>
  <dcterms:modified xsi:type="dcterms:W3CDTF">2023-06-19T13:31:00Z</dcterms:modified>
</cp:coreProperties>
</file>